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F" w:rsidRDefault="00B531C9">
      <w:pPr>
        <w:snapToGrid w:val="0"/>
        <w:spacing w:line="560" w:lineRule="atLeas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E4082F" w:rsidRDefault="00E4082F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4082F" w:rsidRDefault="00B531C9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北京市法学会</w:t>
      </w:r>
    </w:p>
    <w:p w:rsidR="00E4082F" w:rsidRDefault="00B531C9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 w:rsidR="00F075DD">
        <w:rPr>
          <w:rFonts w:ascii="黑体" w:eastAsia="黑体" w:hAnsi="黑体" w:cs="黑体"/>
          <w:b/>
          <w:bCs/>
          <w:sz w:val="36"/>
          <w:szCs w:val="36"/>
        </w:rPr>
        <w:t>9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年市级法学研究课题</w:t>
      </w:r>
      <w:r w:rsidR="00837121">
        <w:rPr>
          <w:rFonts w:ascii="黑体" w:eastAsia="黑体" w:hAnsi="黑体" w:cs="黑体" w:hint="eastAsia"/>
          <w:b/>
          <w:bCs/>
          <w:sz w:val="36"/>
          <w:szCs w:val="36"/>
        </w:rPr>
        <w:t>拟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立项名单</w:t>
      </w:r>
    </w:p>
    <w:p w:rsidR="00E4082F" w:rsidRPr="00E27136" w:rsidRDefault="00E4082F">
      <w:pPr>
        <w:snapToGrid w:val="0"/>
        <w:spacing w:line="560" w:lineRule="atLeast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4082F" w:rsidRDefault="00B531C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一、重点课题（10项</w:t>
      </w:r>
      <w:r w:rsidR="00254B3B">
        <w:rPr>
          <w:rFonts w:ascii="仿宋" w:eastAsia="仿宋" w:hAnsi="仿宋" w:cs="仿宋" w:hint="eastAsia"/>
          <w:b/>
          <w:bCs/>
          <w:sz w:val="32"/>
          <w:szCs w:val="32"/>
        </w:rPr>
        <w:t>，</w:t>
      </w:r>
      <w:r w:rsidR="00254B3B">
        <w:rPr>
          <w:rFonts w:ascii="仿宋" w:eastAsia="仿宋" w:hAnsi="仿宋" w:cs="仿宋"/>
          <w:b/>
          <w:bCs/>
          <w:sz w:val="32"/>
          <w:szCs w:val="32"/>
        </w:rPr>
        <w:t>其中</w:t>
      </w:r>
      <w:r w:rsidR="00E27136">
        <w:rPr>
          <w:rFonts w:ascii="仿宋" w:eastAsia="仿宋" w:hAnsi="仿宋" w:cs="仿宋"/>
          <w:b/>
          <w:bCs/>
          <w:sz w:val="32"/>
          <w:szCs w:val="32"/>
        </w:rPr>
        <w:t>2</w:t>
      </w:r>
      <w:r w:rsidR="00254B3B">
        <w:rPr>
          <w:rFonts w:ascii="仿宋" w:eastAsia="仿宋" w:hAnsi="仿宋" w:cs="仿宋"/>
          <w:b/>
          <w:bCs/>
          <w:sz w:val="32"/>
          <w:szCs w:val="32"/>
        </w:rPr>
        <w:t>项为委托课题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A12EE8" w:rsidRDefault="00A12EE8" w:rsidP="00A12EE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1、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习近平法治思想在北京城市副中心建设中的效用研究</w:t>
      </w:r>
    </w:p>
    <w:p w:rsidR="00E27136" w:rsidRDefault="00E27136" w:rsidP="00A12EE8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杜云涛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国家税务总局北京市通州区税务局</w:t>
      </w:r>
    </w:p>
    <w:p w:rsidR="00603471" w:rsidRDefault="00603471" w:rsidP="00A12EE8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603471">
        <w:rPr>
          <w:rFonts w:ascii="仿宋" w:eastAsia="仿宋" w:hAnsi="仿宋" w:cs="仿宋" w:hint="eastAsia"/>
          <w:bCs/>
          <w:sz w:val="32"/>
          <w:szCs w:val="32"/>
        </w:rPr>
        <w:t>立项编号：BLS(201</w:t>
      </w:r>
      <w:r>
        <w:rPr>
          <w:rFonts w:ascii="仿宋" w:eastAsia="仿宋" w:hAnsi="仿宋" w:cs="仿宋"/>
          <w:bCs/>
          <w:sz w:val="32"/>
          <w:szCs w:val="32"/>
        </w:rPr>
        <w:t>9</w:t>
      </w:r>
      <w:r w:rsidRPr="00603471">
        <w:rPr>
          <w:rFonts w:ascii="仿宋" w:eastAsia="仿宋" w:hAnsi="仿宋" w:cs="仿宋" w:hint="eastAsia"/>
          <w:bCs/>
          <w:sz w:val="32"/>
          <w:szCs w:val="32"/>
        </w:rPr>
        <w:t>)A001</w:t>
      </w:r>
    </w:p>
    <w:p w:rsidR="00A12EE8" w:rsidRDefault="00A12EE8" w:rsidP="00A12EE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2、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党内法规制度建设科学化研究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E27136" w:rsidRDefault="00E27136" w:rsidP="00A12EE8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郑贤君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首都师范大学</w:t>
      </w:r>
    </w:p>
    <w:p w:rsidR="00603471" w:rsidRDefault="00603471" w:rsidP="00A12EE8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03471">
        <w:rPr>
          <w:rFonts w:ascii="仿宋" w:eastAsia="仿宋" w:hAnsi="仿宋" w:cs="仿宋" w:hint="eastAsia"/>
          <w:bCs/>
          <w:sz w:val="32"/>
          <w:szCs w:val="32"/>
        </w:rPr>
        <w:t>立项编号：BLS(201</w:t>
      </w:r>
      <w:r>
        <w:rPr>
          <w:rFonts w:ascii="仿宋" w:eastAsia="仿宋" w:hAnsi="仿宋" w:cs="仿宋"/>
          <w:bCs/>
          <w:sz w:val="32"/>
          <w:szCs w:val="32"/>
        </w:rPr>
        <w:t>9</w:t>
      </w:r>
      <w:r w:rsidRPr="00603471">
        <w:rPr>
          <w:rFonts w:ascii="仿宋" w:eastAsia="仿宋" w:hAnsi="仿宋" w:cs="仿宋" w:hint="eastAsia"/>
          <w:bCs/>
          <w:sz w:val="32"/>
          <w:szCs w:val="32"/>
        </w:rPr>
        <w:t>)A00</w:t>
      </w:r>
      <w:r>
        <w:rPr>
          <w:rFonts w:ascii="仿宋" w:eastAsia="仿宋" w:hAnsi="仿宋" w:cs="仿宋"/>
          <w:bCs/>
          <w:sz w:val="32"/>
          <w:szCs w:val="32"/>
        </w:rPr>
        <w:t>2</w:t>
      </w:r>
    </w:p>
    <w:p w:rsidR="00A12EE8" w:rsidRDefault="00A12EE8" w:rsidP="00A12EE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3、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提升司法办案质效问题研究（委托）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F42821" w:rsidRDefault="00F42821" w:rsidP="00F42821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立项编号：BLS(2019)A003</w:t>
      </w:r>
    </w:p>
    <w:p w:rsidR="00A12EE8" w:rsidRDefault="00A12EE8" w:rsidP="00A12EE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政法干部廉政警示教育机制研究（委托）</w:t>
      </w:r>
    </w:p>
    <w:p w:rsidR="00F42821" w:rsidRPr="00F42821" w:rsidRDefault="00F42821" w:rsidP="00F42821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立项编号：BLS(2019)A004</w:t>
      </w:r>
    </w:p>
    <w:p w:rsidR="00A12EE8" w:rsidRDefault="00A12EE8" w:rsidP="00A12EE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5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以人民为中心运用法治思维深入推进我市公安“放管服”工作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E27136" w:rsidRDefault="00E27136" w:rsidP="00A12EE8">
      <w:pPr>
        <w:snapToGrid w:val="0"/>
        <w:spacing w:line="560" w:lineRule="atLeast"/>
        <w:ind w:firstLine="660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华列兵</w:t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北京市公安局法制总队</w:t>
      </w:r>
    </w:p>
    <w:p w:rsidR="00F42821" w:rsidRDefault="00F42821" w:rsidP="00F42821">
      <w:pPr>
        <w:snapToGrid w:val="0"/>
        <w:spacing w:line="560" w:lineRule="atLeas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立项编号：BLS(2019)A005</w:t>
      </w:r>
    </w:p>
    <w:p w:rsidR="00E27136" w:rsidRDefault="00254B3B" w:rsidP="00A12EE8">
      <w:pPr>
        <w:snapToGrid w:val="0"/>
        <w:spacing w:line="560" w:lineRule="atLeast"/>
        <w:ind w:firstLine="660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/>
          <w:b/>
          <w:bCs/>
          <w:sz w:val="32"/>
          <w:szCs w:val="32"/>
        </w:rPr>
        <w:t>6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互联网犯罪问题实证研究</w:t>
      </w:r>
    </w:p>
    <w:p w:rsidR="00E27136" w:rsidRDefault="00E27136" w:rsidP="00254B3B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叶</w:t>
      </w:r>
      <w:r w:rsidR="0026251F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洪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  <w:t>中国政法大学</w:t>
      </w:r>
    </w:p>
    <w:p w:rsidR="00F42821" w:rsidRPr="00A12EE8" w:rsidRDefault="00F42821" w:rsidP="00F42821">
      <w:pPr>
        <w:snapToGrid w:val="0"/>
        <w:spacing w:line="560" w:lineRule="atLeast"/>
        <w:ind w:firstLine="6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立项编号：BLS(2019)A006</w:t>
      </w:r>
    </w:p>
    <w:p w:rsidR="00254B3B" w:rsidRDefault="00254B3B" w:rsidP="00254B3B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/>
          <w:b/>
          <w:bCs/>
          <w:sz w:val="32"/>
          <w:szCs w:val="32"/>
        </w:rPr>
        <w:lastRenderedPageBreak/>
        <w:t>7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关于人民法院能动参与基层社会治理体系构建的调研</w:t>
      </w:r>
    </w:p>
    <w:p w:rsidR="00E27136" w:rsidRDefault="00E27136" w:rsidP="00A12EE8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亓</w:t>
      </w:r>
      <w:r w:rsidR="0026251F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纪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  <w:t>北京市门头沟区人民法院</w:t>
      </w:r>
    </w:p>
    <w:p w:rsidR="00F42821" w:rsidRPr="00A12EE8" w:rsidRDefault="00F42821" w:rsidP="00F42821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立项编号：BLS(2019)A007</w:t>
      </w:r>
    </w:p>
    <w:p w:rsidR="00E27136" w:rsidRDefault="00A12EE8" w:rsidP="00A12EE8">
      <w:pPr>
        <w:snapToGrid w:val="0"/>
        <w:spacing w:line="560" w:lineRule="atLeast"/>
        <w:ind w:firstLineChars="220" w:firstLine="707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/>
          <w:b/>
          <w:bCs/>
          <w:sz w:val="32"/>
          <w:szCs w:val="32"/>
        </w:rPr>
        <w:t>8</w:t>
      </w:r>
      <w:r w:rsidR="00254B3B"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全面依法治市实践路径研究</w:t>
      </w:r>
    </w:p>
    <w:p w:rsidR="00E27136" w:rsidRDefault="00E27136" w:rsidP="00A12EE8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苗</w:t>
      </w:r>
      <w:r w:rsidR="0026251F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林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  <w:t>北京市司法局</w:t>
      </w:r>
    </w:p>
    <w:p w:rsidR="00F42821" w:rsidRPr="00A12EE8" w:rsidRDefault="00F42821" w:rsidP="00F42821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立项编号：BLS(2019)A008</w:t>
      </w:r>
    </w:p>
    <w:p w:rsidR="00254B3B" w:rsidRDefault="00A12EE8" w:rsidP="00A12EE8">
      <w:pPr>
        <w:snapToGrid w:val="0"/>
        <w:spacing w:line="560" w:lineRule="atLeast"/>
        <w:ind w:firstLineChars="220" w:firstLine="707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/>
          <w:b/>
          <w:bCs/>
          <w:sz w:val="32"/>
          <w:szCs w:val="32"/>
        </w:rPr>
        <w:t>9</w:t>
      </w:r>
      <w:r w:rsidR="00254B3B"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司法证据信息共享机制研究</w:t>
      </w:r>
    </w:p>
    <w:p w:rsidR="00E27136" w:rsidRDefault="00E27136" w:rsidP="00A12EE8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杨秀清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中国政法大学</w:t>
      </w:r>
    </w:p>
    <w:p w:rsidR="00F42821" w:rsidRPr="00A12EE8" w:rsidRDefault="00F42821" w:rsidP="00F42821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立项编号：BLS(2019)A009</w:t>
      </w:r>
    </w:p>
    <w:p w:rsidR="00254B3B" w:rsidRDefault="00A12EE8" w:rsidP="00A12EE8">
      <w:pPr>
        <w:snapToGrid w:val="0"/>
        <w:spacing w:line="560" w:lineRule="atLeast"/>
        <w:ind w:firstLineChars="220" w:firstLine="707"/>
        <w:rPr>
          <w:rFonts w:ascii="仿宋" w:eastAsia="仿宋" w:hAnsi="仿宋" w:cs="仿宋"/>
          <w:b/>
          <w:bCs/>
          <w:sz w:val="32"/>
          <w:szCs w:val="32"/>
        </w:rPr>
      </w:pPr>
      <w:r w:rsidRPr="00A12EE8">
        <w:rPr>
          <w:rFonts w:ascii="仿宋" w:eastAsia="仿宋" w:hAnsi="仿宋" w:cs="仿宋"/>
          <w:b/>
          <w:bCs/>
          <w:sz w:val="32"/>
          <w:szCs w:val="32"/>
        </w:rPr>
        <w:t>10</w:t>
      </w:r>
      <w:r w:rsidR="00254B3B"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E27136" w:rsidRPr="00E27136">
        <w:rPr>
          <w:rFonts w:ascii="仿宋" w:eastAsia="仿宋" w:hAnsi="仿宋" w:cs="仿宋" w:hint="eastAsia"/>
          <w:b/>
          <w:bCs/>
          <w:sz w:val="32"/>
          <w:szCs w:val="32"/>
        </w:rPr>
        <w:t>北京市优化营商环境法治化建设研究</w:t>
      </w:r>
    </w:p>
    <w:p w:rsidR="00E4082F" w:rsidRDefault="00E27136" w:rsidP="00E2713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E27136">
        <w:rPr>
          <w:rFonts w:ascii="仿宋" w:eastAsia="仿宋" w:hAnsi="仿宋" w:cs="仿宋" w:hint="eastAsia"/>
          <w:bCs/>
          <w:sz w:val="32"/>
          <w:szCs w:val="32"/>
        </w:rPr>
        <w:t>王敬波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E27136">
        <w:rPr>
          <w:rFonts w:ascii="仿宋" w:eastAsia="仿宋" w:hAnsi="仿宋" w:cs="仿宋" w:hint="eastAsia"/>
          <w:bCs/>
          <w:sz w:val="32"/>
          <w:szCs w:val="32"/>
        </w:rPr>
        <w:t>中国政法大学</w:t>
      </w:r>
      <w:r w:rsidR="00B531C9">
        <w:rPr>
          <w:rFonts w:ascii="仿宋" w:eastAsia="仿宋" w:hAnsi="仿宋" w:cs="仿宋" w:hint="eastAsia"/>
          <w:b/>
          <w:bCs/>
          <w:sz w:val="32"/>
          <w:szCs w:val="32"/>
        </w:rPr>
        <w:t xml:space="preserve">　</w:t>
      </w:r>
    </w:p>
    <w:p w:rsidR="00F42821" w:rsidRPr="00A12EE8" w:rsidRDefault="00F42821" w:rsidP="00F42821">
      <w:pPr>
        <w:snapToGrid w:val="0"/>
        <w:spacing w:line="560" w:lineRule="atLeast"/>
        <w:ind w:firstLineChars="220" w:firstLine="70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立项编号：BLS(2019)A010</w:t>
      </w:r>
    </w:p>
    <w:p w:rsidR="00E27136" w:rsidRDefault="00E27136" w:rsidP="00E2713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E4082F" w:rsidRDefault="00B531C9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二、一般课题（20项）</w:t>
      </w:r>
    </w:p>
    <w:p w:rsidR="00AF171A" w:rsidRPr="00AF171A" w:rsidRDefault="00B531C9" w:rsidP="00AF171A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</w:t>
      </w:r>
      <w:r w:rsidR="00AF171A" w:rsidRPr="00AF171A">
        <w:rPr>
          <w:rFonts w:ascii="仿宋" w:eastAsia="仿宋" w:hAnsi="仿宋" w:cs="仿宋" w:hint="eastAsia"/>
          <w:b/>
          <w:bCs/>
          <w:sz w:val="32"/>
          <w:szCs w:val="32"/>
        </w:rPr>
        <w:t>1、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民营企业投融资产权保护研究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白慧林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北京工商大学</w:t>
      </w:r>
    </w:p>
    <w:p w:rsidR="00F42821" w:rsidRPr="00AF171A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01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2、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金融科技背景下北京市预防和化解金融风险规制研究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胡继晔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中国政法大学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02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3、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《新加坡调解公约》与北京市打造“一带一路”商事纠纷解决中心的对接路径探析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F42821" w:rsidRDefault="000439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贾</w:t>
      </w:r>
      <w:r w:rsidR="00F27DF8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辉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北京融商一带一路法律与商事服务中心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03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4、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新时代首都市民规则意识培养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尹</w:t>
      </w:r>
      <w:r w:rsidR="00F27DF8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超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中国政法大学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04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5、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无人驾驶汽车的法律规制问题研究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尹少成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首都经济贸易大学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05</w:t>
      </w:r>
    </w:p>
    <w:p w:rsidR="00043921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6、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对欧美长臂管辖制度在ICT产业不断扩张适用的应对建议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毕春丽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中国信息通信研究院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06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7、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京津冀地区农业绿色发展面临的挑战与法律对策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刘明明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中国农业大学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07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8、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“街乡吹哨 部门报到”——推进党建引领基层治理体制机制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DF2E85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葛</w:t>
      </w:r>
      <w:r w:rsidR="00F27DF8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静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北京市通州区于家务乡政府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08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9、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北京副中心运河商务区产业项目准入机制研究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吴长军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北京物资学院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09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10、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租赁住房税收征管与抵扣实施办法研究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赵秀池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北京市房地产法学会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10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11、</w:t>
      </w:r>
      <w:r w:rsidR="00043921">
        <w:rPr>
          <w:rFonts w:ascii="仿宋" w:eastAsia="仿宋" w:hAnsi="仿宋" w:cs="仿宋" w:hint="eastAsia"/>
          <w:b/>
          <w:bCs/>
          <w:sz w:val="32"/>
          <w:szCs w:val="32"/>
        </w:rPr>
        <w:t>我国强制拆除违法建筑的法律现状及救济途径研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  <w:r w:rsidR="00F27DF8">
        <w:rPr>
          <w:rFonts w:ascii="仿宋" w:eastAsia="仿宋" w:hAnsi="仿宋" w:cs="仿宋" w:hint="eastAsia"/>
          <w:b/>
          <w:bCs/>
          <w:sz w:val="32"/>
          <w:szCs w:val="32"/>
        </w:rPr>
        <w:t>究</w:t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苗乐如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北京市房地产法学会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11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12、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“互联网+”背景下教育培训工作机制的改革创新</w:t>
      </w:r>
    </w:p>
    <w:p w:rsidR="00043921" w:rsidRDefault="00043921" w:rsidP="000439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王晓艳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北京市高级人民法院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12</w:t>
      </w:r>
    </w:p>
    <w:p w:rsidR="00043921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13、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司法责任制改革背景下检察决策模式的现状及完善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  <w:r w:rsidR="00F27DF8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="00043921" w:rsidRPr="00043921">
        <w:rPr>
          <w:rFonts w:ascii="仿宋" w:eastAsia="仿宋" w:hAnsi="仿宋" w:cs="仿宋" w:hint="eastAsia"/>
          <w:bCs/>
          <w:sz w:val="32"/>
          <w:szCs w:val="32"/>
        </w:rPr>
        <w:t>马天博</w:t>
      </w:r>
      <w:r w:rsidR="00043921" w:rsidRPr="00043921">
        <w:rPr>
          <w:rFonts w:ascii="仿宋" w:eastAsia="仿宋" w:hAnsi="仿宋" w:cs="仿宋" w:hint="eastAsia"/>
          <w:bCs/>
          <w:sz w:val="32"/>
          <w:szCs w:val="32"/>
        </w:rPr>
        <w:tab/>
        <w:t>北京市昌平区人民检察院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13</w:t>
      </w:r>
    </w:p>
    <w:p w:rsidR="00AF171A" w:rsidRPr="00AF171A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14、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基于执法办案平台网上办案活动的定向培训指导分析研究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0439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刘如赞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北京市公安局法制总队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14</w:t>
      </w:r>
    </w:p>
    <w:p w:rsidR="00AF171A" w:rsidRPr="00043921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15、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社会治理视角下的第三方参与社会矛盾化解途径与思考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0439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张景荪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北京市公益法律服务促进会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15</w:t>
      </w:r>
    </w:p>
    <w:p w:rsidR="00AF171A" w:rsidRPr="00043921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16、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首都法治人才队伍发展促进机制研究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0439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陈志红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北京大学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16</w:t>
      </w:r>
    </w:p>
    <w:p w:rsidR="00AF171A" w:rsidRPr="00043921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17、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扫黑除恶专项斗争涉案财产处置实证研究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吴小军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  <w:t>北京市高级人民法院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17</w:t>
      </w:r>
    </w:p>
    <w:p w:rsidR="00AF171A" w:rsidRPr="00AF171A" w:rsidRDefault="00AF171A" w:rsidP="00AF171A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18、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构建与完善多层次不动产权利体系、保障（京津冀）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人民群众居住权利研究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043921" w:rsidRDefault="00043921" w:rsidP="00AF171A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043921">
        <w:rPr>
          <w:rFonts w:ascii="仿宋" w:eastAsia="仿宋" w:hAnsi="仿宋" w:cs="仿宋" w:hint="eastAsia"/>
          <w:bCs/>
          <w:sz w:val="32"/>
          <w:szCs w:val="32"/>
        </w:rPr>
        <w:t>尹</w:t>
      </w:r>
      <w:r w:rsidR="00F27DF8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飞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>中央财经大学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18</w:t>
      </w:r>
    </w:p>
    <w:p w:rsidR="00043921" w:rsidRPr="00043921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19、</w:t>
      </w:r>
      <w:r w:rsidR="00043921" w:rsidRPr="00043921">
        <w:rPr>
          <w:rFonts w:ascii="仿宋" w:eastAsia="仿宋" w:hAnsi="仿宋" w:cs="仿宋" w:hint="eastAsia"/>
          <w:b/>
          <w:bCs/>
          <w:sz w:val="32"/>
          <w:szCs w:val="32"/>
        </w:rPr>
        <w:t>京津冀协同发展大背景下的军民融合法律服务研究</w:t>
      </w:r>
      <w:r w:rsidRPr="00043921">
        <w:rPr>
          <w:rFonts w:ascii="仿宋" w:eastAsia="仿宋" w:hAnsi="仿宋" w:cs="仿宋" w:hint="eastAsia"/>
          <w:bCs/>
          <w:sz w:val="32"/>
          <w:szCs w:val="32"/>
        </w:rPr>
        <w:tab/>
      </w:r>
      <w:r w:rsidR="00F27DF8">
        <w:rPr>
          <w:rFonts w:ascii="仿宋" w:eastAsia="仿宋" w:hAnsi="仿宋" w:cs="仿宋"/>
          <w:bCs/>
          <w:sz w:val="32"/>
          <w:szCs w:val="32"/>
        </w:rPr>
        <w:t xml:space="preserve"> </w:t>
      </w:r>
      <w:r w:rsidR="00043921" w:rsidRPr="00043921">
        <w:rPr>
          <w:rFonts w:ascii="仿宋" w:eastAsia="仿宋" w:hAnsi="仿宋" w:cs="仿宋" w:hint="eastAsia"/>
          <w:bCs/>
          <w:sz w:val="32"/>
          <w:szCs w:val="32"/>
        </w:rPr>
        <w:t>李卫海</w:t>
      </w:r>
      <w:r w:rsidR="00043921" w:rsidRPr="00043921">
        <w:rPr>
          <w:rFonts w:ascii="仿宋" w:eastAsia="仿宋" w:hAnsi="仿宋" w:cs="仿宋" w:hint="eastAsia"/>
          <w:bCs/>
          <w:sz w:val="32"/>
          <w:szCs w:val="32"/>
        </w:rPr>
        <w:tab/>
        <w:t>中国政法大学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19</w:t>
      </w:r>
    </w:p>
    <w:p w:rsidR="00AF171A" w:rsidRPr="00AF171A" w:rsidRDefault="00AF171A" w:rsidP="00043921">
      <w:pPr>
        <w:snapToGrid w:val="0"/>
        <w:spacing w:line="560" w:lineRule="atLeast"/>
        <w:ind w:firstLineChars="176" w:firstLine="565"/>
        <w:rPr>
          <w:rFonts w:ascii="仿宋" w:eastAsia="仿宋" w:hAnsi="仿宋" w:cs="仿宋"/>
          <w:b/>
          <w:bCs/>
          <w:sz w:val="32"/>
          <w:szCs w:val="32"/>
        </w:rPr>
      </w:pP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>20、</w:t>
      </w:r>
      <w:r w:rsidR="009D322D" w:rsidRPr="009D322D">
        <w:rPr>
          <w:rFonts w:ascii="仿宋" w:eastAsia="仿宋" w:hAnsi="仿宋" w:cs="仿宋" w:hint="eastAsia"/>
          <w:b/>
          <w:bCs/>
          <w:sz w:val="32"/>
          <w:szCs w:val="32"/>
        </w:rPr>
        <w:t>北京市社区（村）基层法治示范创建活动研究</w:t>
      </w:r>
      <w:r w:rsidRPr="00AF171A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9D322D" w:rsidRDefault="009D322D" w:rsidP="00F27DF8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D322D">
        <w:rPr>
          <w:rFonts w:ascii="仿宋" w:eastAsia="仿宋" w:hAnsi="仿宋" w:cs="仿宋" w:hint="eastAsia"/>
          <w:bCs/>
          <w:sz w:val="32"/>
          <w:szCs w:val="32"/>
        </w:rPr>
        <w:t>马燕</w:t>
      </w:r>
      <w:r w:rsidRPr="009D322D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9D322D">
        <w:rPr>
          <w:rFonts w:ascii="仿宋" w:eastAsia="仿宋" w:hAnsi="仿宋" w:cs="仿宋" w:hint="eastAsia"/>
          <w:bCs/>
          <w:sz w:val="32"/>
          <w:szCs w:val="32"/>
        </w:rPr>
        <w:t>北京市司法局</w:t>
      </w:r>
    </w:p>
    <w:p w:rsidR="00F42821" w:rsidRPr="00DF2E85" w:rsidRDefault="00F42821" w:rsidP="00F42821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20</w:t>
      </w:r>
    </w:p>
    <w:p w:rsidR="001E12BD" w:rsidRDefault="001E12BD" w:rsidP="009D322D">
      <w:pPr>
        <w:snapToGrid w:val="0"/>
        <w:spacing w:line="560" w:lineRule="atLeast"/>
        <w:ind w:firstLineChars="150" w:firstLine="480"/>
        <w:rPr>
          <w:rFonts w:ascii="仿宋" w:eastAsia="仿宋" w:hAnsi="仿宋" w:cs="仿宋"/>
          <w:bCs/>
          <w:sz w:val="32"/>
          <w:szCs w:val="32"/>
        </w:rPr>
      </w:pPr>
    </w:p>
    <w:p w:rsidR="00E4082F" w:rsidRDefault="00B531C9" w:rsidP="00F27DF8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三、青年课题（10项）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192303">
        <w:rPr>
          <w:rFonts w:ascii="仿宋" w:eastAsia="仿宋" w:hAnsi="仿宋" w:cs="仿宋" w:hint="eastAsia"/>
          <w:b/>
          <w:bCs/>
          <w:sz w:val="32"/>
          <w:szCs w:val="32"/>
        </w:rPr>
        <w:t>1、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村规民约推进基层社会协同治理机制实证研究</w:t>
      </w:r>
    </w:p>
    <w:p w:rsidR="006E2105" w:rsidRPr="006E2105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6E2105">
        <w:rPr>
          <w:rFonts w:ascii="仿宋" w:eastAsia="仿宋" w:hAnsi="仿宋" w:cs="仿宋" w:hint="eastAsia"/>
          <w:bCs/>
          <w:sz w:val="32"/>
          <w:szCs w:val="32"/>
        </w:rPr>
        <w:t>陈寒非</w:t>
      </w:r>
      <w:r w:rsidRPr="006E2105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6E2105">
        <w:rPr>
          <w:rFonts w:ascii="仿宋" w:eastAsia="仿宋" w:hAnsi="仿宋" w:cs="仿宋" w:hint="eastAsia"/>
          <w:bCs/>
          <w:sz w:val="32"/>
          <w:szCs w:val="32"/>
        </w:rPr>
        <w:t>首都经济贸易大学</w:t>
      </w:r>
    </w:p>
    <w:p w:rsidR="00F42821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92303">
        <w:rPr>
          <w:rFonts w:ascii="仿宋" w:eastAsia="仿宋" w:hAnsi="仿宋" w:cs="仿宋" w:hint="eastAsia"/>
          <w:bCs/>
          <w:sz w:val="32"/>
          <w:szCs w:val="32"/>
        </w:rPr>
        <w:t>立项编号：BLS(</w:t>
      </w:r>
      <w:r>
        <w:rPr>
          <w:rFonts w:ascii="仿宋" w:eastAsia="仿宋" w:hAnsi="仿宋" w:cs="仿宋" w:hint="eastAsia"/>
          <w:bCs/>
          <w:sz w:val="32"/>
          <w:szCs w:val="32"/>
        </w:rPr>
        <w:t>2019</w:t>
      </w:r>
      <w:r w:rsidRPr="00192303">
        <w:rPr>
          <w:rFonts w:ascii="仿宋" w:eastAsia="仿宋" w:hAnsi="仿宋" w:cs="仿宋" w:hint="eastAsia"/>
          <w:bCs/>
          <w:sz w:val="32"/>
          <w:szCs w:val="32"/>
        </w:rPr>
        <w:t>)</w:t>
      </w:r>
      <w:r>
        <w:rPr>
          <w:rFonts w:ascii="仿宋" w:eastAsia="仿宋" w:hAnsi="仿宋" w:cs="仿宋"/>
          <w:bCs/>
          <w:sz w:val="32"/>
          <w:szCs w:val="32"/>
        </w:rPr>
        <w:t>C</w:t>
      </w:r>
      <w:r w:rsidRPr="00192303"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01</w:t>
      </w:r>
    </w:p>
    <w:p w:rsidR="006E2105" w:rsidRPr="001E12BD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92303">
        <w:rPr>
          <w:rFonts w:ascii="仿宋" w:eastAsia="仿宋" w:hAnsi="仿宋" w:cs="仿宋" w:hint="eastAsia"/>
          <w:b/>
          <w:bCs/>
          <w:sz w:val="32"/>
          <w:szCs w:val="32"/>
        </w:rPr>
        <w:t>2、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中日首都治理中非刑罚性犯罪制裁运用经验比较研究</w:t>
      </w:r>
      <w:r w:rsidR="006E2105"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="006E2105" w:rsidRPr="001E12BD">
        <w:rPr>
          <w:rFonts w:ascii="仿宋" w:eastAsia="仿宋" w:hAnsi="仿宋" w:cs="仿宋" w:hint="eastAsia"/>
          <w:bCs/>
          <w:sz w:val="32"/>
          <w:szCs w:val="32"/>
        </w:rPr>
        <w:t>曾文科</w:t>
      </w:r>
      <w:r w:rsidR="006E2105"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="006E2105" w:rsidRPr="001E12BD">
        <w:rPr>
          <w:rFonts w:ascii="仿宋" w:eastAsia="仿宋" w:hAnsi="仿宋" w:cs="仿宋" w:hint="eastAsia"/>
          <w:bCs/>
          <w:sz w:val="32"/>
          <w:szCs w:val="32"/>
        </w:rPr>
        <w:t>中国政法大学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02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192303">
        <w:rPr>
          <w:rFonts w:ascii="仿宋" w:eastAsia="仿宋" w:hAnsi="仿宋" w:cs="仿宋" w:hint="eastAsia"/>
          <w:b/>
          <w:bCs/>
          <w:sz w:val="32"/>
          <w:szCs w:val="32"/>
        </w:rPr>
        <w:t>3、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在京外国人犯罪问题研究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杜少尉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中国政法大学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03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192303">
        <w:rPr>
          <w:rFonts w:ascii="仿宋" w:eastAsia="仿宋" w:hAnsi="仿宋" w:cs="仿宋" w:hint="eastAsia"/>
          <w:b/>
          <w:bCs/>
          <w:sz w:val="32"/>
          <w:szCs w:val="32"/>
        </w:rPr>
        <w:t>4、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新时代社会治理创新背景下《北京市社会信用条例》研究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张</w:t>
      </w:r>
      <w:r w:rsidR="00FB3CC3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欣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对外经济贸易大学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04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5、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网络“黑产链”惩治与预防的策略演进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郭旨龙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中国政法大学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05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t>6、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行政规范性文件合法性审查标准研究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李</w:t>
      </w:r>
      <w:r w:rsidR="00FB3CC3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淮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中国政法大学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06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t>7、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《外商投资法》的司法适用问题研究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冯</w:t>
      </w:r>
      <w:r w:rsidR="00FB3CC3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辉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  <w:t>对外经济贸易大学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07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t>8、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北京市公共数据共享与利用规制研究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黄尹旭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  <w:t>中国人民大学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08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t>9、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北京市教育行政执法实务问题研究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6E2105" w:rsidRPr="001E12BD" w:rsidRDefault="006E2105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袁晨钧</w:t>
      </w:r>
      <w:r w:rsidR="001E12B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  <w:t>北京警察学院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09</w:t>
      </w:r>
    </w:p>
    <w:p w:rsidR="006E2105" w:rsidRDefault="00192303" w:rsidP="006E2105">
      <w:pPr>
        <w:snapToGrid w:val="0"/>
        <w:spacing w:line="560" w:lineRule="atLeast"/>
        <w:ind w:firstLine="567"/>
        <w:rPr>
          <w:rFonts w:ascii="仿宋" w:eastAsia="仿宋" w:hAnsi="仿宋" w:cs="仿宋"/>
          <w:b/>
          <w:bCs/>
          <w:sz w:val="32"/>
          <w:szCs w:val="32"/>
        </w:rPr>
      </w:pPr>
      <w:r w:rsidRPr="006D008B">
        <w:rPr>
          <w:rFonts w:ascii="仿宋" w:eastAsia="仿宋" w:hAnsi="仿宋" w:cs="仿宋" w:hint="eastAsia"/>
          <w:b/>
          <w:bCs/>
          <w:sz w:val="32"/>
          <w:szCs w:val="32"/>
        </w:rPr>
        <w:t>10、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>首都市民就医规则意识培养研究</w:t>
      </w:r>
      <w:r w:rsidR="006E2105" w:rsidRPr="006E2105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F42821" w:rsidRDefault="006E2105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 w:rsidRPr="001E12BD">
        <w:rPr>
          <w:rFonts w:ascii="仿宋" w:eastAsia="仿宋" w:hAnsi="仿宋" w:cs="仿宋" w:hint="eastAsia"/>
          <w:bCs/>
          <w:sz w:val="32"/>
          <w:szCs w:val="32"/>
        </w:rPr>
        <w:t>邓</w:t>
      </w:r>
      <w:r w:rsidR="00FB3CC3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勇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ab/>
      </w:r>
      <w:r w:rsidR="001E12BD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1E12BD">
        <w:rPr>
          <w:rFonts w:ascii="仿宋" w:eastAsia="仿宋" w:hAnsi="仿宋" w:cs="仿宋" w:hint="eastAsia"/>
          <w:bCs/>
          <w:sz w:val="32"/>
          <w:szCs w:val="32"/>
        </w:rPr>
        <w:t>北京中医药大学</w:t>
      </w:r>
    </w:p>
    <w:p w:rsidR="00F42821" w:rsidRPr="00192303" w:rsidRDefault="00F42821" w:rsidP="00F42821">
      <w:pPr>
        <w:snapToGrid w:val="0"/>
        <w:spacing w:line="560" w:lineRule="atLeast"/>
        <w:ind w:firstLine="56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立项编号：BLS(2019)</w:t>
      </w:r>
      <w:r>
        <w:rPr>
          <w:rFonts w:ascii="仿宋" w:eastAsia="仿宋" w:hAnsi="仿宋" w:cs="仿宋"/>
          <w:bCs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10</w:t>
      </w:r>
    </w:p>
    <w:p w:rsidR="00192303" w:rsidRPr="001E12BD" w:rsidRDefault="00192303" w:rsidP="006E2105">
      <w:pPr>
        <w:snapToGrid w:val="0"/>
        <w:spacing w:line="560" w:lineRule="atLeast"/>
        <w:ind w:firstLine="567"/>
      </w:pPr>
    </w:p>
    <w:sectPr w:rsidR="00192303" w:rsidRPr="001E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CC" w:rsidRDefault="00413DCC" w:rsidP="007D615D">
      <w:r>
        <w:separator/>
      </w:r>
    </w:p>
  </w:endnote>
  <w:endnote w:type="continuationSeparator" w:id="0">
    <w:p w:rsidR="00413DCC" w:rsidRDefault="00413DCC" w:rsidP="007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CC" w:rsidRDefault="00413DCC" w:rsidP="007D615D">
      <w:r>
        <w:separator/>
      </w:r>
    </w:p>
  </w:footnote>
  <w:footnote w:type="continuationSeparator" w:id="0">
    <w:p w:rsidR="00413DCC" w:rsidRDefault="00413DCC" w:rsidP="007D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9EAF"/>
    <w:multiLevelType w:val="singleLevel"/>
    <w:tmpl w:val="597A9EAF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A166A"/>
    <w:rsid w:val="00020AD6"/>
    <w:rsid w:val="00043921"/>
    <w:rsid w:val="00192303"/>
    <w:rsid w:val="001E12BD"/>
    <w:rsid w:val="001E6D9E"/>
    <w:rsid w:val="00254B3B"/>
    <w:rsid w:val="0026251F"/>
    <w:rsid w:val="00413DCC"/>
    <w:rsid w:val="0056152C"/>
    <w:rsid w:val="00603471"/>
    <w:rsid w:val="006D008B"/>
    <w:rsid w:val="006E2105"/>
    <w:rsid w:val="007D615D"/>
    <w:rsid w:val="00837121"/>
    <w:rsid w:val="009D322D"/>
    <w:rsid w:val="00A12EE8"/>
    <w:rsid w:val="00AF171A"/>
    <w:rsid w:val="00B531C9"/>
    <w:rsid w:val="00DF2E85"/>
    <w:rsid w:val="00DF4C88"/>
    <w:rsid w:val="00E27136"/>
    <w:rsid w:val="00E4082F"/>
    <w:rsid w:val="00F075DD"/>
    <w:rsid w:val="00F27DF8"/>
    <w:rsid w:val="00F42821"/>
    <w:rsid w:val="00FB3CC3"/>
    <w:rsid w:val="08352B27"/>
    <w:rsid w:val="0A7835CD"/>
    <w:rsid w:val="1E1A166A"/>
    <w:rsid w:val="26CE3DC5"/>
    <w:rsid w:val="29893E67"/>
    <w:rsid w:val="46166AC9"/>
    <w:rsid w:val="467B41D2"/>
    <w:rsid w:val="540A0958"/>
    <w:rsid w:val="57164414"/>
    <w:rsid w:val="5DE706FE"/>
    <w:rsid w:val="6C2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E74B"/>
  <w15:docId w15:val="{0690927C-44F7-42F9-9980-A48022E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12EE8"/>
    <w:pPr>
      <w:ind w:firstLineChars="200" w:firstLine="420"/>
    </w:pPr>
  </w:style>
  <w:style w:type="paragraph" w:styleId="a4">
    <w:name w:val="header"/>
    <w:basedOn w:val="a"/>
    <w:link w:val="a5"/>
    <w:rsid w:val="007D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615D"/>
    <w:rPr>
      <w:kern w:val="2"/>
      <w:sz w:val="18"/>
      <w:szCs w:val="18"/>
    </w:rPr>
  </w:style>
  <w:style w:type="paragraph" w:styleId="a6">
    <w:name w:val="footer"/>
    <w:basedOn w:val="a"/>
    <w:link w:val="a7"/>
    <w:rsid w:val="007D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61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2017-08-31T02:34:00Z</cp:lastPrinted>
  <dcterms:created xsi:type="dcterms:W3CDTF">2019-08-02T02:17:00Z</dcterms:created>
  <dcterms:modified xsi:type="dcterms:W3CDTF">2019-08-12T02:23:00Z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